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rPr>
      </w:pPr>
      <w:r w:rsidDel="00000000" w:rsidR="00000000" w:rsidRPr="00000000">
        <w:rPr>
          <w:rFonts w:ascii="Cambria" w:cs="Cambria" w:eastAsia="Cambria" w:hAnsi="Cambria"/>
          <w:b w:val="1"/>
          <w:rtl w:val="0"/>
        </w:rPr>
        <w:t xml:space="preserve">Proč obnovili antické hry?</w:t>
      </w:r>
      <w:r w:rsidDel="00000000" w:rsidR="00000000" w:rsidRPr="00000000">
        <w:rPr>
          <w:rtl w:val="0"/>
        </w:rPr>
      </w:r>
    </w:p>
    <w:p w:rsidR="00000000" w:rsidDel="00000000" w:rsidP="00000000" w:rsidRDefault="00000000" w:rsidRPr="00000000" w14:paraId="00000002">
      <w:pPr>
        <w:rPr>
          <w:rFonts w:ascii="Cambria" w:cs="Cambria" w:eastAsia="Cambria" w:hAnsi="Cambria"/>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Vzdělávací cíl</w:t>
      </w:r>
      <w:r w:rsidDel="00000000" w:rsidR="00000000" w:rsidRPr="00000000">
        <w:rPr>
          <w:rFonts w:ascii="Cambria" w:cs="Cambria" w:eastAsia="Cambria" w:hAnsi="Cambria"/>
          <w:rtl w:val="0"/>
        </w:rPr>
        <w:t xml:space="preserve">: Žáci se seznámí s textem pamětí Pierra de </w:t>
      </w:r>
      <w:r w:rsidDel="00000000" w:rsidR="00000000" w:rsidRPr="00000000">
        <w:rPr>
          <w:rFonts w:ascii="Cambria" w:cs="Cambria" w:eastAsia="Cambria" w:hAnsi="Cambria"/>
          <w:rtl w:val="0"/>
        </w:rPr>
        <w:t xml:space="preserve">Coubertina</w:t>
      </w:r>
      <w:r w:rsidDel="00000000" w:rsidR="00000000" w:rsidRPr="00000000">
        <w:rPr>
          <w:rFonts w:ascii="Cambria" w:cs="Cambria" w:eastAsia="Cambria" w:hAnsi="Cambria"/>
          <w:rtl w:val="0"/>
        </w:rPr>
        <w:t xml:space="preserve"> a zamyslí se nad dobovým kontextem obnovy her. Lekce se věnuje tématu vzniku moderních olympijských her z perspektivy hlavního organizátora této události. V závěru mají žáci také možnost porovnat původní hodnoty spojené s obnovením her s těmi současnými. </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Princip historického myšlení</w:t>
      </w:r>
      <w:r w:rsidDel="00000000" w:rsidR="00000000" w:rsidRPr="00000000">
        <w:rPr>
          <w:rFonts w:ascii="Cambria" w:cs="Cambria" w:eastAsia="Cambria" w:hAnsi="Cambria"/>
          <w:rtl w:val="0"/>
        </w:rPr>
        <w:t xml:space="preserve">: trvání a změna</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b w:val="1"/>
          <w:rtl w:val="0"/>
        </w:rPr>
        <w:t xml:space="preserve">Badatelská dovednost</w:t>
      </w:r>
      <w:r w:rsidDel="00000000" w:rsidR="00000000" w:rsidRPr="00000000">
        <w:rPr>
          <w:rFonts w:ascii="Cambria" w:cs="Cambria" w:eastAsia="Cambria" w:hAnsi="Cambria"/>
          <w:rtl w:val="0"/>
        </w:rPr>
        <w:t xml:space="preserve">: hledáme skrytý význam pramene</w:t>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b w:val="1"/>
          <w:rtl w:val="0"/>
        </w:rPr>
        <w:t xml:space="preserve">Časová náročnost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45 </w:t>
      </w:r>
      <w:r w:rsidDel="00000000" w:rsidR="00000000" w:rsidRPr="00000000">
        <w:rPr>
          <w:rFonts w:ascii="Cambria" w:cs="Cambria" w:eastAsia="Cambria" w:hAnsi="Cambria"/>
          <w:rtl w:val="0"/>
        </w:rPr>
        <w:t xml:space="preserve">min</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b w:val="1"/>
          <w:rtl w:val="0"/>
        </w:rPr>
        <w:t xml:space="preserve">Postup</w:t>
      </w:r>
      <w:r w:rsidDel="00000000" w:rsidR="00000000" w:rsidRPr="00000000">
        <w:rPr>
          <w:rFonts w:ascii="Cambria" w:cs="Cambria" w:eastAsia="Cambria" w:hAnsi="Cambria"/>
          <w:rtl w:val="0"/>
        </w:rPr>
        <w:t xml:space="preserve">:</w:t>
      </w:r>
    </w:p>
    <w:p w:rsidR="00000000" w:rsidDel="00000000" w:rsidP="00000000" w:rsidRDefault="00000000" w:rsidRPr="00000000" w14:paraId="0000000C">
      <w:pPr>
        <w:numPr>
          <w:ilvl w:val="0"/>
          <w:numId w:val="2"/>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Úvodní evokace (5 min)</w:t>
      </w:r>
    </w:p>
    <w:p w:rsidR="00000000" w:rsidDel="00000000" w:rsidP="00000000" w:rsidRDefault="00000000" w:rsidRPr="00000000" w14:paraId="0000000D">
      <w:pPr>
        <w:ind w:left="720" w:firstLine="0"/>
        <w:rPr>
          <w:rFonts w:ascii="Cambria" w:cs="Cambria" w:eastAsia="Cambria" w:hAnsi="Cambria"/>
        </w:rPr>
      </w:pPr>
      <w:r w:rsidDel="00000000" w:rsidR="00000000" w:rsidRPr="00000000">
        <w:rPr>
          <w:rFonts w:ascii="Cambria" w:cs="Cambria" w:eastAsia="Cambria" w:hAnsi="Cambria"/>
          <w:rtl w:val="0"/>
        </w:rPr>
        <w:t xml:space="preserve">S žáky téma otevřeme jednoduchou otázkou: Jak staré jsou olympijské hry? V reakci na odpovědi žáků můžeme rozvíjet téma obnovení her na přelomu 19. a 20. století. Jak se antické a moderní hry lišily? Jaké hodnoty a společenské procesy umožnily vznik moderních olympiád?</w:t>
      </w:r>
    </w:p>
    <w:p w:rsidR="00000000" w:rsidDel="00000000" w:rsidP="00000000" w:rsidRDefault="00000000" w:rsidRPr="00000000" w14:paraId="0000000E">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Fotografie MOV z roku 1896 (5 min)</w:t>
      </w:r>
    </w:p>
    <w:p w:rsidR="00000000" w:rsidDel="00000000" w:rsidP="00000000" w:rsidRDefault="00000000" w:rsidRPr="00000000" w14:paraId="00000010">
      <w:pPr>
        <w:ind w:left="720" w:firstLine="0"/>
        <w:rPr>
          <w:rFonts w:ascii="Cambria" w:cs="Cambria" w:eastAsia="Cambria" w:hAnsi="Cambria"/>
        </w:rPr>
      </w:pPr>
      <w:r w:rsidDel="00000000" w:rsidR="00000000" w:rsidRPr="00000000">
        <w:rPr>
          <w:rFonts w:ascii="Cambria" w:cs="Cambria" w:eastAsia="Cambria" w:hAnsi="Cambria"/>
          <w:rtl w:val="0"/>
        </w:rPr>
        <w:t xml:space="preserve">Požádáme žáky, aby si prohlédli fotografii a popsali, co je na fotografii. Necháme žáky formulovat vlastní hypotézy, které v první fázi nehodnotíme. Teprve až přestanou zaznívat nové podněty, odhalíme, že jde o první MOV. Můžeme upozornit na to, že přestože existovalo Rakousko-Uhersko, v MOV jsou zástupci českých zemí a Maďarska. Zdůrazníme, že MOV je nejdůležitější orgán pořadatelů her. </w:t>
      </w:r>
      <w:r w:rsidDel="00000000" w:rsidR="00000000" w:rsidRPr="00000000">
        <w:rPr>
          <w:rFonts w:ascii="Cambria" w:cs="Cambria" w:eastAsia="Cambria" w:hAnsi="Cambria"/>
          <w:rtl w:val="0"/>
        </w:rPr>
        <w:t xml:space="preserve">Společně pak odpovíme na otázku, z jaké společenské vrstvy pocházela většina zakladatelů OH a co o nich fotografie vypovídá. Můžeme zvláště připomenout aristokratický původ barona Pierra de Coubertina. Pokud je pro žáky práce s fotografií obtížná, můžeme využít klíčová slova v dalším kroku. </w:t>
      </w:r>
      <w:r w:rsidDel="00000000" w:rsidR="00000000" w:rsidRPr="00000000">
        <w:rPr>
          <w:rtl w:val="0"/>
        </w:rPr>
      </w:r>
    </w:p>
    <w:p w:rsidR="00000000" w:rsidDel="00000000" w:rsidP="00000000" w:rsidRDefault="00000000" w:rsidRPr="00000000" w14:paraId="00000011">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2">
      <w:pPr>
        <w:widowControl w:val="0"/>
        <w:spacing w:after="240" w:lineRule="auto"/>
        <w:ind w:left="720" w:firstLine="0"/>
        <w:rPr>
          <w:rFonts w:ascii="Cambria" w:cs="Cambria" w:eastAsia="Cambria" w:hAnsi="Cambria"/>
          <w:i w:val="1"/>
        </w:rPr>
      </w:pPr>
      <w:r w:rsidDel="00000000" w:rsidR="00000000" w:rsidRPr="00000000">
        <w:rPr>
          <w:rFonts w:ascii="Cambria" w:cs="Cambria" w:eastAsia="Cambria" w:hAnsi="Cambria"/>
          <w:i w:val="1"/>
          <w:rtl w:val="0"/>
        </w:rPr>
        <w:t xml:space="preserve">Popis fotografie. </w:t>
      </w:r>
      <w:r w:rsidDel="00000000" w:rsidR="00000000" w:rsidRPr="00000000">
        <w:rPr>
          <w:rFonts w:ascii="Cambria" w:cs="Cambria" w:eastAsia="Cambria" w:hAnsi="Cambria"/>
          <w:i w:val="1"/>
          <w:rtl w:val="0"/>
        </w:rPr>
        <w:t xml:space="preserve">Zleva: stojící Willibald Gebhardt (přírodovědec, Německo), Jiří Stanislav Guth-Jarkovský (středoškolský učitel, České země), Ferenc Kemeny (pedagog, Maďarsko), Viktor Balck (důstojník, Švédsko); sedící: baron Pierre de Coubertin (historik, Francie), Dimitreos Vikelas (obchodník, Řecko), Alexej Butovsky (generál, Rusko). Žáci si mohou povšimnout, že jde výhradně o muže, většinou z vyšších společenských vrstev. Oba pedagogové patřili ve své době k vyšší střední třídě. V MOV byli také dva příslušníci armády. </w:t>
      </w:r>
      <w:r w:rsidDel="00000000" w:rsidR="00000000" w:rsidRPr="00000000">
        <w:rPr>
          <w:rtl w:val="0"/>
        </w:rPr>
      </w:r>
    </w:p>
    <w:p w:rsidR="00000000" w:rsidDel="00000000" w:rsidP="00000000" w:rsidRDefault="00000000" w:rsidRPr="00000000" w14:paraId="00000013">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Čtení textu (10 min)</w:t>
      </w:r>
    </w:p>
    <w:p w:rsidR="00000000" w:rsidDel="00000000" w:rsidP="00000000" w:rsidRDefault="00000000" w:rsidRPr="00000000" w14:paraId="00000015">
      <w:pPr>
        <w:ind w:left="720" w:firstLine="0"/>
        <w:rPr>
          <w:rFonts w:ascii="Cambria" w:cs="Cambria" w:eastAsia="Cambria" w:hAnsi="Cambria"/>
        </w:rPr>
      </w:pPr>
      <w:r w:rsidDel="00000000" w:rsidR="00000000" w:rsidRPr="00000000">
        <w:rPr>
          <w:rFonts w:ascii="Cambria" w:cs="Cambria" w:eastAsia="Cambria" w:hAnsi="Cambria"/>
          <w:rtl w:val="0"/>
        </w:rPr>
        <w:t xml:space="preserve">Žáci si přečtou úryvek z pamětí Pierra de Coubertina a označují v něm zelenou barvou po</w:t>
      </w:r>
      <w:r w:rsidDel="00000000" w:rsidR="00000000" w:rsidRPr="00000000">
        <w:rPr>
          <w:rFonts w:ascii="Cambria" w:cs="Cambria" w:eastAsia="Cambria" w:hAnsi="Cambria"/>
          <w:rtl w:val="0"/>
        </w:rPr>
        <w:t xml:space="preserve">zitivní hodnoty olympijských her a červenou barvou hodnoty, které autor textu odmítá. </w:t>
      </w:r>
    </w:p>
    <w:p w:rsidR="00000000" w:rsidDel="00000000" w:rsidP="00000000" w:rsidRDefault="00000000" w:rsidRPr="00000000" w14:paraId="00000016">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7">
      <w:pPr>
        <w:ind w:left="720" w:firstLine="0"/>
        <w:rPr>
          <w:rFonts w:ascii="Cambria" w:cs="Cambria" w:eastAsia="Cambria" w:hAnsi="Cambria"/>
          <w:i w:val="1"/>
        </w:rPr>
      </w:pPr>
      <w:r w:rsidDel="00000000" w:rsidR="00000000" w:rsidRPr="00000000">
        <w:rPr>
          <w:rFonts w:ascii="Cambria" w:cs="Cambria" w:eastAsia="Cambria" w:hAnsi="Cambria"/>
          <w:i w:val="1"/>
          <w:rtl w:val="0"/>
        </w:rPr>
        <w:t xml:space="preserve">Žáci mohou zeleně označit charakteristiky “mezinárodní” a  “demokratický” a ve druhé části textu rozpoznat dvojice protikladů: </w:t>
      </w:r>
      <w:r w:rsidDel="00000000" w:rsidR="00000000" w:rsidRPr="00000000">
        <w:rPr>
          <w:rFonts w:ascii="Cambria" w:cs="Cambria" w:eastAsia="Cambria" w:hAnsi="Cambria"/>
          <w:i w:val="1"/>
          <w:rtl w:val="0"/>
        </w:rPr>
        <w:t xml:space="preserve">nezištnost a ctižádost x touha po zisku; rytířskost x zvrhlost, statečnost x zvířeckost či mír x válka.</w:t>
      </w:r>
      <w:r w:rsidDel="00000000" w:rsidR="00000000" w:rsidRPr="00000000">
        <w:rPr>
          <w:rtl w:val="0"/>
        </w:rPr>
      </w:r>
    </w:p>
    <w:p w:rsidR="00000000" w:rsidDel="00000000" w:rsidP="00000000" w:rsidRDefault="00000000" w:rsidRPr="00000000" w14:paraId="00000018">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Sdílení výsledků (5 min)</w:t>
      </w:r>
    </w:p>
    <w:p w:rsidR="00000000" w:rsidDel="00000000" w:rsidP="00000000" w:rsidRDefault="00000000" w:rsidRPr="00000000" w14:paraId="0000001A">
      <w:pPr>
        <w:ind w:left="720" w:firstLine="0"/>
        <w:rPr>
          <w:rFonts w:ascii="Cambria" w:cs="Cambria" w:eastAsia="Cambria" w:hAnsi="Cambria"/>
        </w:rPr>
      </w:pPr>
      <w:r w:rsidDel="00000000" w:rsidR="00000000" w:rsidRPr="00000000">
        <w:rPr>
          <w:rFonts w:ascii="Cambria" w:cs="Cambria" w:eastAsia="Cambria" w:hAnsi="Cambria"/>
          <w:rtl w:val="0"/>
        </w:rPr>
        <w:t xml:space="preserve">Žáci sdílí výsledky svého čtení. Je vhodné výsledky zapisovat, aby je žáci měli před očima. </w:t>
      </w:r>
    </w:p>
    <w:p w:rsidR="00000000" w:rsidDel="00000000" w:rsidP="00000000" w:rsidRDefault="00000000" w:rsidRPr="00000000" w14:paraId="0000001B">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C">
      <w:pPr>
        <w:ind w:left="720" w:firstLine="0"/>
        <w:rPr>
          <w:rFonts w:ascii="Cambria" w:cs="Cambria" w:eastAsia="Cambria" w:hAnsi="Cambria"/>
          <w:i w:val="1"/>
        </w:rPr>
      </w:pPr>
      <w:r w:rsidDel="00000000" w:rsidR="00000000" w:rsidRPr="00000000">
        <w:rPr>
          <w:rFonts w:ascii="Cambria" w:cs="Cambria" w:eastAsia="Cambria" w:hAnsi="Cambria"/>
          <w:i w:val="1"/>
          <w:rtl w:val="0"/>
        </w:rPr>
        <w:t xml:space="preserve">Zde mohou žáci zmínit výše popsané hodnoty, nebo také využít Coubertinovy poznámky o nabývající popularitě “atletismu” - tedy, že hry reagují na dobový trend spojený jak s nárůstem fenoménu volného času, tak se zájmem o hygienu a péči o zdraví v tehdejší Evropě. Je důležité se žáků doptávat, jak jednotlivým pojmům z textu rozumí. Také je třeba upozornit žáky, pokud použijí anachronismus: tedy, že přisoudí pojmům z textu současné významy. Text pamětí vyšel poprvé v roce 1931, Coubertin ovšem na citovaném místě mluví jménem celého prvního MOV. </w:t>
      </w:r>
    </w:p>
    <w:p w:rsidR="00000000" w:rsidDel="00000000" w:rsidP="00000000" w:rsidRDefault="00000000" w:rsidRPr="00000000" w14:paraId="0000001D">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Konfrontace s prvními obnovenými olympiádami (5 min)</w:t>
      </w:r>
    </w:p>
    <w:p w:rsidR="00000000" w:rsidDel="00000000" w:rsidP="00000000" w:rsidRDefault="00000000" w:rsidRPr="00000000" w14:paraId="0000001F">
      <w:pPr>
        <w:ind w:left="720" w:firstLine="0"/>
        <w:rPr>
          <w:rFonts w:ascii="Cambria" w:cs="Cambria" w:eastAsia="Cambria" w:hAnsi="Cambria"/>
        </w:rPr>
      </w:pPr>
      <w:r w:rsidDel="00000000" w:rsidR="00000000" w:rsidRPr="00000000">
        <w:rPr>
          <w:rFonts w:ascii="Cambria" w:cs="Cambria" w:eastAsia="Cambria" w:hAnsi="Cambria"/>
          <w:rtl w:val="0"/>
        </w:rPr>
        <w:t xml:space="preserve">Žákům promítneme nebo rozdáme seznam situací, které nastaly během prvních dvou obnovených olympiád v Aténách 1896 a v Paříži roku 1900. Žáci mají rozhodnout, které ze situací byly v souladu s proklamovanými hodnotami: </w:t>
      </w:r>
    </w:p>
    <w:p w:rsidR="00000000" w:rsidDel="00000000" w:rsidP="00000000" w:rsidRDefault="00000000" w:rsidRPr="00000000" w14:paraId="00000020">
      <w:pPr>
        <w:widowControl w:val="0"/>
        <w:numPr>
          <w:ilvl w:val="0"/>
          <w:numId w:val="3"/>
        </w:numPr>
        <w:spacing w:after="0" w:lineRule="auto"/>
        <w:ind w:left="1440" w:hanging="360"/>
        <w:rPr>
          <w:rFonts w:ascii="Cambria" w:cs="Cambria" w:eastAsia="Cambria" w:hAnsi="Cambria"/>
        </w:rPr>
      </w:pPr>
      <w:r w:rsidDel="00000000" w:rsidR="00000000" w:rsidRPr="00000000">
        <w:rPr>
          <w:rFonts w:ascii="Cambria" w:cs="Cambria" w:eastAsia="Cambria" w:hAnsi="Cambria"/>
          <w:rtl w:val="0"/>
        </w:rPr>
        <w:t xml:space="preserve">Prvních novodobých her v Aténách roku 1896 se zúčastnili pouze muži.</w:t>
      </w:r>
    </w:p>
    <w:p w:rsidR="00000000" w:rsidDel="00000000" w:rsidP="00000000" w:rsidRDefault="00000000" w:rsidRPr="00000000" w14:paraId="00000021">
      <w:pPr>
        <w:widowControl w:val="0"/>
        <w:numPr>
          <w:ilvl w:val="0"/>
          <w:numId w:val="3"/>
        </w:numPr>
        <w:spacing w:after="0" w:lineRule="auto"/>
        <w:ind w:left="1440" w:hanging="360"/>
        <w:rPr>
          <w:rFonts w:ascii="Cambria" w:cs="Cambria" w:eastAsia="Cambria" w:hAnsi="Cambria"/>
        </w:rPr>
      </w:pPr>
      <w:r w:rsidDel="00000000" w:rsidR="00000000" w:rsidRPr="00000000">
        <w:rPr>
          <w:rFonts w:ascii="Cambria" w:cs="Cambria" w:eastAsia="Cambria" w:hAnsi="Cambria"/>
          <w:rtl w:val="0"/>
        </w:rPr>
        <w:t xml:space="preserve">Všechny sporty byly na hrách od počátku považovány za rovnocenné.</w:t>
      </w:r>
    </w:p>
    <w:p w:rsidR="00000000" w:rsidDel="00000000" w:rsidP="00000000" w:rsidRDefault="00000000" w:rsidRPr="00000000" w14:paraId="00000022">
      <w:pPr>
        <w:widowControl w:val="0"/>
        <w:numPr>
          <w:ilvl w:val="0"/>
          <w:numId w:val="3"/>
        </w:numPr>
        <w:spacing w:after="0" w:lineRule="auto"/>
        <w:ind w:left="1440" w:hanging="360"/>
        <w:rPr>
          <w:rFonts w:ascii="Cambria" w:cs="Cambria" w:eastAsia="Cambria" w:hAnsi="Cambria"/>
        </w:rPr>
      </w:pPr>
      <w:r w:rsidDel="00000000" w:rsidR="00000000" w:rsidRPr="00000000">
        <w:rPr>
          <w:rFonts w:ascii="Cambria" w:cs="Cambria" w:eastAsia="Cambria" w:hAnsi="Cambria"/>
          <w:rtl w:val="0"/>
        </w:rPr>
        <w:t xml:space="preserve">Od počátku byl v Mezinárodním olympijském výboru zastoupen i český výbor, přestože neměl vlastní stát.</w:t>
      </w:r>
    </w:p>
    <w:p w:rsidR="00000000" w:rsidDel="00000000" w:rsidP="00000000" w:rsidRDefault="00000000" w:rsidRPr="00000000" w14:paraId="00000023">
      <w:pPr>
        <w:widowControl w:val="0"/>
        <w:numPr>
          <w:ilvl w:val="0"/>
          <w:numId w:val="3"/>
        </w:numPr>
        <w:ind w:left="1440" w:hanging="360"/>
        <w:rPr>
          <w:rFonts w:ascii="Cambria" w:cs="Cambria" w:eastAsia="Cambria" w:hAnsi="Cambria"/>
        </w:rPr>
      </w:pPr>
      <w:r w:rsidDel="00000000" w:rsidR="00000000" w:rsidRPr="00000000">
        <w:rPr>
          <w:rFonts w:ascii="Cambria" w:cs="Cambria" w:eastAsia="Cambria" w:hAnsi="Cambria"/>
          <w:rtl w:val="0"/>
        </w:rPr>
        <w:t xml:space="preserve">Na druhých hrách v Paříži roku 1900 byla zařazena disciplína “Střelba na živé holuby”. Během ní zemřelo na 300 ptáků.</w:t>
      </w:r>
    </w:p>
    <w:p w:rsidR="00000000" w:rsidDel="00000000" w:rsidP="00000000" w:rsidRDefault="00000000" w:rsidRPr="00000000" w14:paraId="00000024">
      <w:pPr>
        <w:widowControl w:val="0"/>
        <w:numPr>
          <w:ilvl w:val="0"/>
          <w:numId w:val="3"/>
        </w:numPr>
        <w:spacing w:after="0" w:lineRule="auto"/>
        <w:ind w:left="1440" w:hanging="360"/>
        <w:rPr>
          <w:rFonts w:ascii="Cambria" w:cs="Cambria" w:eastAsia="Cambria" w:hAnsi="Cambria"/>
        </w:rPr>
      </w:pPr>
      <w:r w:rsidDel="00000000" w:rsidR="00000000" w:rsidRPr="00000000">
        <w:rPr>
          <w:rFonts w:ascii="Cambria" w:cs="Cambria" w:eastAsia="Cambria" w:hAnsi="Cambria"/>
          <w:rtl w:val="0"/>
        </w:rPr>
        <w:t xml:space="preserve">Místo konání her se pro každý rok střídalo.</w:t>
      </w:r>
    </w:p>
    <w:p w:rsidR="00000000" w:rsidDel="00000000" w:rsidP="00000000" w:rsidRDefault="00000000" w:rsidRPr="00000000" w14:paraId="00000025">
      <w:pPr>
        <w:widowControl w:val="0"/>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26">
      <w:pPr>
        <w:widowControl w:val="0"/>
        <w:spacing w:after="0" w:lineRule="auto"/>
        <w:ind w:left="720" w:firstLine="0"/>
        <w:rPr>
          <w:rFonts w:ascii="Cambria" w:cs="Cambria" w:eastAsia="Cambria" w:hAnsi="Cambria"/>
          <w:i w:val="1"/>
        </w:rPr>
      </w:pPr>
      <w:r w:rsidDel="00000000" w:rsidR="00000000" w:rsidRPr="00000000">
        <w:rPr>
          <w:rFonts w:ascii="Cambria" w:cs="Cambria" w:eastAsia="Cambria" w:hAnsi="Cambria"/>
          <w:i w:val="1"/>
          <w:rtl w:val="0"/>
        </w:rPr>
        <w:t xml:space="preserve">Pouze mužská účast a střelba na živé holuby patří mezi situace, jež jsou z dnešního pohledu v rozporu s deklarovanými hodnotami. Zároveň je třeba brát v potaz, že konec 19. století je obdobím intenzivního úsilí o rovnost žen alespoň na politické úrovni. </w:t>
      </w:r>
    </w:p>
    <w:p w:rsidR="00000000" w:rsidDel="00000000" w:rsidP="00000000" w:rsidRDefault="00000000" w:rsidRPr="00000000" w14:paraId="00000027">
      <w:pPr>
        <w:widowControl w:val="0"/>
        <w:spacing w:after="0" w:lineRule="auto"/>
        <w:ind w:left="72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28">
      <w:pPr>
        <w:widowControl w:val="0"/>
        <w:numPr>
          <w:ilvl w:val="0"/>
          <w:numId w:val="2"/>
        </w:numPr>
        <w:spacing w:after="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Olympijské hodnoty v současnosti (5 min)</w:t>
      </w:r>
    </w:p>
    <w:p w:rsidR="00000000" w:rsidDel="00000000" w:rsidP="00000000" w:rsidRDefault="00000000" w:rsidRPr="00000000" w14:paraId="00000029">
      <w:pPr>
        <w:widowControl w:val="0"/>
        <w:spacing w:after="0" w:lineRule="auto"/>
        <w:ind w:left="720" w:firstLine="0"/>
        <w:rPr>
          <w:rFonts w:ascii="Cambria" w:cs="Cambria" w:eastAsia="Cambria" w:hAnsi="Cambria"/>
        </w:rPr>
      </w:pPr>
      <w:r w:rsidDel="00000000" w:rsidR="00000000" w:rsidRPr="00000000">
        <w:rPr>
          <w:rFonts w:ascii="Cambria" w:cs="Cambria" w:eastAsia="Cambria" w:hAnsi="Cambria"/>
          <w:rtl w:val="0"/>
        </w:rPr>
        <w:t xml:space="preserve">Upozorníme žáky, že se nyní přesouváme z minulosti do současného světa. </w:t>
      </w:r>
      <w:r w:rsidDel="00000000" w:rsidR="00000000" w:rsidRPr="00000000">
        <w:rPr>
          <w:rFonts w:ascii="Cambria" w:cs="Cambria" w:eastAsia="Cambria" w:hAnsi="Cambria"/>
          <w:rtl w:val="0"/>
        </w:rPr>
        <w:t xml:space="preserve">Promítneme žákům video “Co to jsou olympijské hodnoty?” a požádáme žáky, aby jmenovali příklady situací, které je mohou vystihovat.</w:t>
      </w:r>
      <w:r w:rsidDel="00000000" w:rsidR="00000000" w:rsidRPr="00000000">
        <w:rPr>
          <w:rFonts w:ascii="Cambria" w:cs="Cambria" w:eastAsia="Cambria" w:hAnsi="Cambria"/>
          <w:rtl w:val="0"/>
        </w:rPr>
        <w:t xml:space="preserve"> Žáci mohou čerpat jak ze skutečného života, tak říkat příklady modelových situací. Podporujeme, žáky, aby sdíleli situace jak ze sportovního prostředí, tak mimo něj. Tuto aktivitu mohou žáci dělat jak samostatně, tak ve skupinách.</w:t>
      </w:r>
    </w:p>
    <w:p w:rsidR="00000000" w:rsidDel="00000000" w:rsidP="00000000" w:rsidRDefault="00000000" w:rsidRPr="00000000" w14:paraId="0000002A">
      <w:pPr>
        <w:widowControl w:val="0"/>
        <w:spacing w:after="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B">
      <w:pPr>
        <w:widowControl w:val="0"/>
        <w:spacing w:after="0" w:lineRule="auto"/>
        <w:ind w:left="720" w:firstLine="0"/>
        <w:rPr>
          <w:rFonts w:ascii="Cambria" w:cs="Cambria" w:eastAsia="Cambria" w:hAnsi="Cambria"/>
        </w:rPr>
      </w:pPr>
      <w:r w:rsidDel="00000000" w:rsidR="00000000" w:rsidRPr="00000000">
        <w:rPr>
          <w:rFonts w:ascii="Cambria" w:cs="Cambria" w:eastAsia="Cambria" w:hAnsi="Cambria"/>
          <w:rtl w:val="0"/>
        </w:rPr>
        <w:t xml:space="preserve">Aktivitu můžeme také zorganizovat jako skupinovou. Každou z hodnot napíšeme na jeden list papíru. Listy rozmístíme po třídě. Vyzveme žáky, aby se postavili k hodnotě, která je pro ně nejdůležitější. Následně požádáme skupiny, aby vymysleli situace, které danou hodnotu ilustrují. Následně skupiny vyberou své mluvčí, kteří prezentují závěry předchozí práce. </w:t>
      </w:r>
    </w:p>
    <w:p w:rsidR="00000000" w:rsidDel="00000000" w:rsidP="00000000" w:rsidRDefault="00000000" w:rsidRPr="00000000" w14:paraId="0000002C">
      <w:pPr>
        <w:widowControl w:val="0"/>
        <w:spacing w:after="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widowControl w:val="0"/>
        <w:numPr>
          <w:ilvl w:val="0"/>
          <w:numId w:val="2"/>
        </w:numPr>
        <w:spacing w:after="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Reflexe: vzkaz Pierru de Coubertinovi (5 min)</w:t>
      </w:r>
    </w:p>
    <w:p w:rsidR="00000000" w:rsidDel="00000000" w:rsidP="00000000" w:rsidRDefault="00000000" w:rsidRPr="00000000" w14:paraId="0000002E">
      <w:pPr>
        <w:widowControl w:val="0"/>
        <w:spacing w:after="0" w:lineRule="auto"/>
        <w:ind w:left="720" w:firstLine="0"/>
        <w:rPr>
          <w:rFonts w:ascii="Cambria" w:cs="Cambria" w:eastAsia="Cambria" w:hAnsi="Cambria"/>
        </w:rPr>
      </w:pPr>
      <w:r w:rsidDel="00000000" w:rsidR="00000000" w:rsidRPr="00000000">
        <w:rPr>
          <w:rFonts w:ascii="Cambria" w:cs="Cambria" w:eastAsia="Cambria" w:hAnsi="Cambria"/>
          <w:rtl w:val="0"/>
        </w:rPr>
        <w:t xml:space="preserve">V poslední aktivitě žáci dokončují dvě následující věty. Cílem je, aby se žáci zamysleli nad tím, jak se ne/proměnily hodnoty spojené s olympijskými hrami a výzvy, které olympijské hnutí řeší. I zde lze navázat na skupinovou práci z předchozího kroku. </w:t>
      </w:r>
    </w:p>
    <w:p w:rsidR="00000000" w:rsidDel="00000000" w:rsidP="00000000" w:rsidRDefault="00000000" w:rsidRPr="00000000" w14:paraId="0000002F">
      <w:pPr>
        <w:widowControl w:val="0"/>
        <w:numPr>
          <w:ilvl w:val="0"/>
          <w:numId w:val="1"/>
        </w:numPr>
        <w:spacing w:after="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Dnešní olympijské hry mají s těmi obnovenými společné … </w:t>
      </w:r>
    </w:p>
    <w:p w:rsidR="00000000" w:rsidDel="00000000" w:rsidP="00000000" w:rsidRDefault="00000000" w:rsidRPr="00000000" w14:paraId="00000030">
      <w:pPr>
        <w:widowControl w:val="0"/>
        <w:numPr>
          <w:ilvl w:val="0"/>
          <w:numId w:val="1"/>
        </w:numPr>
        <w:spacing w:after="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Dnešní olympijské hry se od těch obnovených liší …</w:t>
      </w:r>
    </w:p>
    <w:p w:rsidR="00000000" w:rsidDel="00000000" w:rsidP="00000000" w:rsidRDefault="00000000" w:rsidRPr="00000000" w14:paraId="00000031">
      <w:pPr>
        <w:widowControl w:val="0"/>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32">
      <w:pPr>
        <w:widowControl w:val="0"/>
        <w:spacing w:after="0" w:lineRule="auto"/>
        <w:ind w:left="720" w:firstLine="0"/>
        <w:rPr>
          <w:rFonts w:ascii="Cambria" w:cs="Cambria" w:eastAsia="Cambria" w:hAnsi="Cambria"/>
          <w:sz w:val="104"/>
          <w:szCs w:val="104"/>
        </w:rPr>
      </w:pPr>
      <w:r w:rsidDel="00000000" w:rsidR="00000000" w:rsidRPr="00000000">
        <w:rPr>
          <w:rFonts w:ascii="Cambria" w:cs="Cambria" w:eastAsia="Cambria" w:hAnsi="Cambria"/>
          <w:i w:val="1"/>
          <w:rtl w:val="0"/>
        </w:rPr>
        <w:t xml:space="preserve">Žáci mohou zaznamenat společný důraz na individuální výkon, cvičení silné vůle, důraz na podporu míru nebo zásadu formulovanou přímo Coubertinem “není důležité zvítězit, ale zúčastnit se”.  Liší se zejména důrazem na respekt a inkluzi původně opomíjených skupin obyvatel (ženy, mimoevropské národy). Současné výzvy lze také mapovat pomocí internetové encyklopedie </w:t>
      </w:r>
      <w:hyperlink r:id="rId6">
        <w:r w:rsidDel="00000000" w:rsidR="00000000" w:rsidRPr="00000000">
          <w:rPr>
            <w:rFonts w:ascii="Cambria" w:cs="Cambria" w:eastAsia="Cambria" w:hAnsi="Cambria"/>
            <w:i w:val="1"/>
            <w:color w:val="1155cc"/>
            <w:u w:val="single"/>
            <w:rtl w:val="0"/>
          </w:rPr>
          <w:t xml:space="preserve">Wikipedie</w:t>
        </w:r>
      </w:hyperlink>
      <w:r w:rsidDel="00000000" w:rsidR="00000000" w:rsidRPr="00000000">
        <w:rPr>
          <w:rFonts w:ascii="Cambria" w:cs="Cambria" w:eastAsia="Cambria" w:hAnsi="Cambria"/>
          <w:i w:val="1"/>
          <w:rtl w:val="0"/>
        </w:rPr>
        <w:t xml:space="preserve">. Můžeme žáky také upozornit na to, že i antické hry se proměňovaly v čase.</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International_Olympic_Committee#Controversies"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